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определением Арбитражного суда города Санкт-Петербурга и Ленинградской области от 31.03.2023, оставленным без изменения постановлениями Тринадцатого арбитражного апелляционного суда от 01.06.2023 и Арбитражного суда Северо-Западного округа от 10.08.2023, исковое заявление возвращено. В кассационной жалобе, поданной в Верховный Суд Российской Федерации, заявитель просит отменить названные судебные акты и направить дело в суд первой инстанции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Возвращая исковое заявление и подтверждая законность такого возврата, суды, руководствуясь статьями 49 и 63 Гражданского кодекса Российской Федерации, статьями 4, 27, 28 и 129 Арбитражного процессуального кодекса Российской Федерации, исходили из того, что настоящее требование не относится к компетенции арбитражного суда, также указав на внесение 23.09.2019 в ЕГРЮЛ записи о ликвидации общества.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