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22.03.2023, оставленным без изменения постановлениями Тринадцатого арбитражного апелляционного суда от 24.05.2023 и Арбитражного суда Северо-Западного округа от 10.08.2023, исковое заявление возвращено.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Возвращая исковое заявление и подтверждая законность такого возврата, суды, руководствуясь статьями 4, 27, 28, 125, 126, 128, 129 Арбитражного процессуального кодекса Российской Федерации, исходили из неустранения заявителем обстоятельств, послуживших ранее основанием для оставления заявления без движения, дополнительно указав на то, что настоящее требование не относится к компетенции арбитражного суда.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