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кассационная жалоба подается в Верховный Суд Российской Федерации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1 ноября 2023 года через электронный сервис «Мой Арбитр» заявитель обратился в Верховный Суд Российской Федерации с кассационной жалобой на определение Арбитражного суда города Москвы от 05.04.2021, 2 постановление Девятого арбитражного апелляционного суда от 07.09.2021 и постановление Арбитражного суда Московского округа от 05.07.2022 по делу А40-230473/2016, то есть по истечении как двухмесячного процессуального срока на обжалование судебного акта, так и пресекательного шестимесячного срока, в пределах которого срок подачи кассационной жалобы может быть восстановлен. При таких обстоятельствах ходатайство о восстановлении пропущенного срока следует оставить без удовлетворения, а кассационную жалобу – возвратить заявителю. Руководствуясь статьями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