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Верховный Суд Российской Федерации с кассационной жалобой на указанные судебные акты, одновременно заявив ходатайство о зачете государственной пошлины. Согласно статьям 102 , 104 Арбитражного процессуального кодекса Российской Федерации (далее - АПК РФ)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не представлены. В соответствии с пунктом 1 части 1 статьи 2915 АПК РФ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 , 184 , 185 , 2913 и статьей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зачете государственной пошлины отказать. Кассационную жалобу на определение Арбитражного суда города Санкт-Петербурга и Ленинградской области от 22.06.2023, постановление Тринадцатого арбитражного апелляционного суда от 14.08.2023 и постановление Арбитражного суда Северо-Западного округа от 04.10.2023 по делу № А56-55712/2023 возвратить заявителю. Судья Верховного Суда Российской Федерации М.К. Антонова Суд: Верховный Суд РФ (подробнее) Ответчики: Министерство энергетики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