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28.03.2023, оставленным без изменения постановлениями Тринадцатого арбитражного апелляционного суда от 25.05.2023 и Арбитражного суда Северо-Западного округа от 09.08.2023, исковое заявление возвращено. В кассационной жалобе, поданной в Верховный Суд Российской Федерации, заявитель просит отменить названные судебные акты и направить дело в суд первой инстанции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и подтверждая законность такого возврата, суды, руководствуясь статьями 4 , 27 , 28 и 129 Арбитражного процессуального кодекса Российской Федерации, исходили из того, что настоящее требование не относится к компетенции арбитражного суда.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"Нефтесервис"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