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03.02.2023, оставленным без изменения постановлением Пятнадцатого арбитражного апелляционного суда от 24.04.2023 и постановлением Арбитражного суда Северо-Кавказского округа от 29.06.2023, требование Мясникова Н.В. включено в реестр требований о передаче жилых помещений, в четвертую очередь реестра включены требования об уплате 5 000 рублей компенсации морального вреда отдельно, 52 500 рублей штрафа отдельно, 100 000 рублей неустойки за нарушение сроков исполнения обязательства отдельно, 244 541 рубля 42 копеек процентов за пользование чужими денежными средствами отдельно. В кассационной жалобе Чалая Е.Г. просит об отмене судебных актов как незаконных и необоснованных.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Установив, что требование Мясникова Н.В. обосновано, факт оплаты квартиры подтвержден, руководствуясь статьями 100, 201.1, 201.7, 201.9 Федерального закона от 26.10.2002 № 127-ФЗ «О несостоятельности (банкротстве)», нормами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суды удовлетворили заявление. Доводы, приведенные в кассационной жалобе, являлись предметом рассмотрения судов, получили надлежащую правовую оценку и не создают оснований для пересмотра обжалуемых судебных актов в кассационном порядке Верховным Судом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Чалой Елене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