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31.01.2023 требования Мамадибирова Г.М. включено в реестр требование о передаче квартир, в четвертую очередь реестра включено требование об уплате процентов за пользование чужими денежными средствами в размере 358 588 рублей 95 копеек отдельно. Постановлением Пятнадцатого арбитражного апелляционного суда от 12.05.2023, оставленным без изменения постановлением Арбитражного суда Северо-Кавказского округа от 12.07.2023, определение от 31.01.2023 изменено: в четвертую очередь реестра включено требование об уплате процентов за пользование чужими денежными средствами в размере 261 594 рублей 57 копеек как учитывающееся отдельно и подлежащее удовлетворению после 2 погашения задолженности и причитающихся процентов; в остальной части определение от 31.01.2023 оставлено без изменения.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Мамадибирова Г.М. обосновано, факт оплаты квартир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