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02.02.2023, оставленным без изменения постановлением Пятнадцатого арбитражного апелляционного суда от 17.03.2023, требования Шутеева В.А. включено в реестр требование о передаче квартир, в четвертую очередь реестра включено требование об уплате процентов за пользование чужими денежными средствами в размере 702 495 рублей 38 копеек отдельно. Арбитражный суд Северо-Кавказского округа постановлением от 29.06.2023 отменил определение от 02.02.2023 и постановление апелляционного суда от 17.03.2023 в части включения в реестр 421 330 рублей 05 копеек процентов за пользование чужими денежными средствами, отказав в удовлетворении заявления в этой части; в остальной части судебные акты оставил без изменения. 2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Шутеева В.А. обосновано, факт оплаты квартир подтвержден, руководствуясь статьями 100, 201.1, 201.7, 201.9 Федерального закона от 26.10.2002 № 127-ФЗ «О несостоятельности (банкротстве)», нормами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