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01.02.2023 требование Чебитко Т.М. включено в реестр требований о передаче жилых помещений, в четвертую очередь реестра включено требование об уплате процентов за пользование чужими денежными средствами в размере 515 101 рубля 58 копеек отдельно. Постановлением Пятнадцатого арбитражного апелляционного суда от 03.05.2023, оставленным без изменения постановлением Арбитражного суда Северо-Кавказского округа от 28.06.2023, определение от 01.02.2023 изменено: в четвертую очередь реестра включено требование об уплате процентов за пользование чужими денежными средствами в размере 234 388 рублей 52 копеек как учитывающееся отдельно и подлежащее удовлетворению после погашения основной суммы задолженности и причитающихся процентов; в остальной части определение от 01.02.2023 оставлено без изменения. 2 В кассационной жалобе Чалая Е.Г.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требование Чебитко Т.М. обосновано, факт оплаты квартиры подтвержден, руководствуясь статьями 100, 201.1, 201.7, 201.9 Федерального закона от 26.10.2002 № 127-ФЗ «О несостоятельности (банкротстве)», нормами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заявление. Доводы, приведенные в кассационной жалобе, являлись предметом рассмотрения судов, получили надлежащую правовую оценку и не создают оснований для пересмотра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Чалой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