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01.02.2023 требования Токаревой Ю.С. включено в реестр требование о передаче квартиры, в четвертую очередь реестра включено требование об уплате процентов за пользование чужими денежными средствами в размере 467 690 рублей 96 копеек отдельно. Постановлением Пятнадцатого арбитражного апелляционного суда от 12.05.2023, оставленным без изменения постановлением Арбитражного суда Северо-Кавказского округа от 10.07.2023, определение от 01.02.2023 изменено: в четвертую очередь реестра включено требование об уплате процентов за пользование чужими денежными средствами в сумме 214 403 рублей 78 копеек как учитывающееся отдельно и подлежащее удовлетворению после погашения 2 суммы задолженности и причитающихся процентов; в остальной части определение от 01.02.2023 оставлено без изменения. В кассационной жалобе Чалая Е.Г.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требование Токаревой Ю.С. обосновано, факт оплаты квартиры подтвержден, руководствуясь статьями 100, 201.1, 201.7, 201.9 Федерального закона от 26.10.2002 № 127-ФЗ «О несостоятельности (банкротстве)», нормами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заявление. Доводы, приведенные в кассационной жалобе, являлись предметом рассмотрения судов, получили надлежащую правовую оценку и не содержат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Чалой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