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02.02.2023 включено в реестр требование о передаче квартиры, в четвертую очередь реестра включено требование об уплате процентов за пользование чужими денежными средствами в размере 489 440 рублей 38 копеек отдельно. Постановлением Пятнадцатого арбитражного апелляционного суда от 15.05.2023, оставленным без изменения постановлением Арбитражного суда Северо-Кавказского округа от 24.07.2023, определение от 02.02.2023 изменено: в четвертую очередь реестра включено требование об уплате процентов за пользование чужими денежными средствами в размере 219 978 рублей 04 копеек как учитывающееся отдельно и подлежащее удовлетворению после погашения суммы задолженности и причитающихся 2 процентов; в остальной части определение от 02.02.2023 оставлено без изменения.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Альковой Г.В. обосновано, факт оплаты квартиры подтвержден, руководствуясь статьями 100, 201.1, 201.7, 201.9 Федерального закона от 26.10.2002 № 127-ФЗ «О несостоятельности (банкротстве)», нормами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