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Московского округа от 23.05.2023, оставленным без изменения определением того же суда от 03.08.2023, производство по кассационной жалобе Потёмкина В.Ю. на определение Арбитражного суда города Москвы от 28.09.2021 и постановление Девятого арбитражного апелляционного суда от 30.11.2021 прекращено на основании пункта 1 части 1 статьи 150 Арбитражного процессуального кодекса Российской Федерации. В кассационной жалобе Потёмкин В.Ю. просит отменить судебные акты окружного суда, ссылаясь на нарушение его прав как наследника должника, изначально не привлеченного к участию в деле по вине финансового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заявитель стал участником дела о банкротстве вследствие перехода к рассмотрению дела по правилам параграфа 4 главы X Федерального закона от 26.10.2002 № 127-ФЗ «О несостоятельности (банкротстве)», поэтому не вправе обжаловать принятые до указанного перехода судебные акты.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Потёмкину Вячеславу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