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Рязанской области от 13.02.2023, оставленным без изменения постановлением Двадцатого арбитражного апелляционного суда от 24.04.2023 и постановлением Арбитражного суда Центрального округа от 17.07.2023, в удовлетворении заявления отказано. В кассационной жалобе Коротов Д.В. просит об отмене судебных актов, ссылаясь на ненадлежащую оценку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Представленные в подтверждение наличия и размера заемных обязательств должника доказательства суды признали не отвечающими критериям статей 71, 100 Федерального закона от 26.10.2002 № 127-ФЗ «О несостоятельности (банкротстве)» и пункту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для установления основанного на них требования в реестре. Требуемая переоценка обстоятельств спора не попадает под основания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Коротову Дмитрию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