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14.03.2023, оставленным без изменения постановлением Девятого арбитражного апелляционного суда от 30.05.2023 и постановлением Арбитражного суда Московского округа от 03.08.2023, в удовлетворении заявления отказано. В кассационной жалобе Минашкина К.П. просит об отмене судебных актов, ссылаясь на игнорирование нуждаемости должника и членов его семьи в спорном автомобиле как в средстве передвижения и источнике дохода.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соотношение нуждаемости в автомобиле с имеющимися обязательствами должника и целями процедур банкротства, признав невозможность применения к нему пунктов 2 и 3 статьи 213.25 Федерального закона от 26.10.2002 № 127-ФЗ «О несостоятельности (банкротстве)» и статьи 446 Гражданского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Минашкиной Ксении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