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06.07.2023, определение Арбитражного суда Московской области от 23.12.2022 и постановление Десятого арбитражного апелляционного суда от 03.03.2023 отменены, спор направлен на новое рассмотрение в суд первой инстанции. В кассационной жалобе Молдаванова С.А.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Молдавановой Светлане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