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07.03.2023, оставленным без изменения постановлением Шестого арбитражного апелляционного суда от 23.05.2023, признано обоснованным заявление общества с ограниченной ответственностью «Энергомехколонна» (кредитор) о признании Ивановой А.В. банкротом, введена процедура реструктуризации долгов, требования кредитора включены в третью очередь реестра, утвержден финансовый управляющий. Постановлением Арбитражного суда Дальневосточного округа от 04.07.2023 изменена мотивировочная часть постановления апелляционного суда от 23.05.2023. В кассационной жалобе Иванова А.В. просит об отмене судебных актов, ссылаясь на неосновательное изменение мотивировочной части постановления апелляционной инстанции, соответствующей договору, и неправильный размер установленного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заявления, наличии и размере подлежащего включению в реестр требования кредитора основаны на представленных доказательствах, статье 69 Арбитражного процессуального кодекса Российской Федерации и соответствуют статьям 213.3, 213.5, 213.6, 213.13 Федерального закона от 26.10.2002 № 127-ФЗ «О несостоятельности (банкротстве)». Возражения заявителя, аналогичные доводам рассматриваемой жалобы, оценивались судами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Анастасии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