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Мордовия от 30.01.2023 завершена процедура реализации имущества должника, правила об освобождении от дальнейшего исполнения обязательств не применены. Постановлением Первого арбитражного апелляционного суда от 04.04.2023 определение от 30.01.2023 отменено в части, в отношении должника применены правила об освобождении от дальнейшего исполнения требований кредиторов. Постановлением Арбитражного суда Волго-Вятского округа от 31.08.2023, постановление апелляционного суда от 04.04.2023 отменено, определение суда первой инстанции от 30.01.2023 оставлено в силе. В кассационной жалобе должник просит об отмене определения суда первой инстанции и постановления окружного суда, ссылаясь на несоответствие вывода судов о ее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суд первой инстанции установил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перед кредиторами. В отсутствие у суда апелляционной инстанции оснований для иных выводов в отношении тех же обстоятельств, которыми располагал суд первой инстанции, окружной суд отменил апелляционное постановление в соответствии с компетенцией, предусмотренной статьями 286-288 Арбитражного процессуального кодекса Российской Федерации.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Тайровой Ирине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