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26.04.2022 в удовлетворения заявленных требований отказано. Постановлением Шестнадцатого арбитражного апелляционного суда от 06.03.2023, оставленным без изменения и постановлением Арбитражного суда Северо-Кавказского округа от 06.07.2023, определение от 26.04.2022 отменено, заявление удовлетворено частично: договоры признаны недействительными, применены последствия недействительности сделок в виде возврата в конкурсную массу должника квартиры, обремененной ипотекой в пользу Банка ВТБ (ПАО). 2 В кассационной жалобе общество «ИДК «Пионер» просит об отмене судебных актов апелляционного и окружного судов в части сохранения залога, ссылаясь на недобросовестность и неосмотрительность залогодержателя.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Примененные последствия недействительности в виде возврата квартиры в конкурсную массу с сохранением обременения в пользу банка соответствует статьям 335, 353 Гражданского кодекса Российской Федерации и установленным обстоятельствам добросовестности залогодержателя. Несогласие кредитора с оценкой действий банка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«Инвестиционная девелоперская компания «Пионер»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