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29.05.2023, оставленным без изменения постановлением Шестого арбитражного апелляционного суда от 11.07.2023 и постановлением Арбитражного суда Дальневосточного округа от 04.09.2023,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