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кредиторы – компания «ВЕЛЛМАРКЕТ КОРП» (Wellmarket corp.) и общество с ограниченной ответственностью «Контек» обратились в суд с заявлением о признании недействительным договора купли-продажи квартиры и машино-места от 11.02.2015, расположенных по адресу: &lt;...&gt;, заключенного между должником и ФИО1; применении последствий недействительности сделки в виде взыскания с ФИО1 в конкурсную массу должника действительной стоимости квартиры и машино- места в размере 110 382 435 рублей. Определением Арбитражного суда Московской области от 18.10.2018, оставленным без изменения постановлениями Десятого арбитражного апелляционного суда от 25.02.2019 и Арбитражного суда Московского округа от 11.06.2019,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обособленный спор, суды,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10 , 168 Гражданского кодекса Российской Федерации, статьями 61.2, 61.6 Федерального закона от 26.10.2002 № 127-ФЗ «О несостоятельности (банкротстве)», разъяснениями, приведёнными в абзаце третьем пункта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исходили из того, что оспариваемая сделка совершена при наличии у должника неисполненных обязательств с целью причинения вреда его кредиторам посредством безвозмездного отчуждения ликвидного имущества в пользу заявителя и недопущения его последующей реализации, что свидетельствовало о злоупотреблении её сторонами своим правом.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Истцы: Ассоциация " Саморегулируемая организация арбитражных управляющих Центрального федерального округа" (подробнее) Инспекция Федеральной налоговой службы по г. Красногорску Московской области (подробнее) Компания "Веллмаркет корп." (Wellmarket corp.) (подробнее) ООО "КонТек" (подробнее) Ответчики: ИП Куцериб Андрей Николаевич (подробнее) Иные лица: АССОЦИАЦИЯ "САМОРЕГУЛИРУЕМАЯ ОРГАНИЗАЦИЯ АРБИТРАЖНЫХ УПРАВЛЯЮЩИХ ЦЕНТРАЛЬНОГО ФЕДЕРАЛЬНОГО ОКРУГА" (подробнее) Судьи дела: Корнелюк Е.С. (судья) (подробнее) Судебная практика по: Злоупотребление правом Судебная практика по применению нормы ст. 10 ГК РФ Признание договора купли продажи недействительным Судебная практика по применению норм ст. 454, 168, 170, 177, 179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