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Амурской области от 14.03.2023, оставленным без изменения постановлением Шестого арбитражного апелляционного суда от 31.05.2023 и постановлением Арбитражного суда Дальневосточного округа от 27.07.2023, процедура реализации имущества гражданина завершена, должник освобожден от дальнейшего исполнения требований кредиторов за исключением требований ФНС России. В кассационной жалобе Харченко Н.И. просит об отмене судебных актов в части неосвобождения от исполнения обязательства перед налоговым органом, ссылаясь на несоответствие вывода судов о его недобросовестности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Спорная задолженность не сложена как попадающая под указанные в пункте 4 статьи 213.28 Федерального закона от 26.10.2002 № 127-ФЗ «О несостоятельности (банкротстве)» случаи. Иная оценка должником своих действий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Харченко Николаю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