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2 Руководствуясь статьями 184, 185, 2912 Арбитражного процессуального кодекса Российской Федерации, статьями 64,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««Строительное транспортное предприятие Союз»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