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Рязанской области от 30.08.2022, оставленным без изменения постановлением Двадцатого арбитражного апелляционного суда от 09.02.2023 и постановлением Арбитражного суда Центрального округа от 05.07.2023, заявление удовлетворено в части включения в третью очередь реестра должника требования кредитора в размере 900 000 рублей основного долга и 45 588 рублей 44 копеек процентов. В кассационной жалобе Попова Е.А. просит об отмене судебных актов, ссылаясь на частичное погашение долга, несоразмерность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Размер непогашенной задолженности суды признали подтвержденным документально. Неустойка не является предметом требования.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Поповой Елене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