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18.10.2023 направил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Кадровые и иные внутренние организационные трудности не могут рассматриваться в качестве объективных и не зависящих от заявителя причин, препятствующих ему подать кассационную жалобу в установленный законом срок.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«Торгово-строительная компания «СтройКомплект» о восстановлении пропущенного срока подачи кассационной жалобы отказать, кассационную жалобу возвратить заявителю. Судья Верховного Суда Першутов А. Г.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