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24.10.2023 направил в Верховный Суд Российской Федерации кассационную жалобу, одновременно заявив ходатайство о восстановлении пропущенного срока ее подачи.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2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Кадровые и иные внутренние организационные трудности не могут рассматриваться в качестве объективных и не зависящих от заявителя причин, препятствующих ему подать кассационную жалобу в установленный законом срок.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«Олимп» о восстановлении пропущенного срока подачи кассационной жалобы отказать, кассационную жалобу возвратить заявителю. Судья Верховного Суда А.Г.Першутов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