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20.02.2023, оставленным без изменения постановлением Одиннадцатого арбитражного апелляционного суда от 04.05.2023 и постановлением Арбитражного суда Поволжского округа от 27.07.2023, требование признано обоснованным в размере 36 817 780 рублей 26 копеек и включено в третью очередь реестра как обеспеченное залогом имущества должника, но не дающее права на участие в первом собрании кредиторов в связи с пропуском срока подачи. В кассационной жалобе общество «ССВ» просит об отмене судебных актов, ссылаясь на недопустимое превышение стоимости залога над размером требования, нерассмотрение довода о возможности оплаты заявителем приобретенного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критериями статей 71, 100, 138 Федерального закона от 26.10.2002 № 127-ФЗ «О несостоятельности (банкротстве)», статьями 337, 339 Гражданского кодекса Российской Федерации, признали обоснованность требования и пределы его удовлетворения за счет заложенного имущества. Довод о возмездности уступки требования не имеет значения для существа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«ССВ»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