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лицо, в отношении которого составлялся протокол об административном правонарушении, в отзыве на апелляционную жалобу и в кассационной жалобе настаивало на своей невиновности, то ему не могло быть отказано в проверке и оценке доводов об отсутствии в его действиях состава административного правонарушения в целях обеспечения судебной защиты прав и свобод этого лица. Отказ в оценке этих обстоятельств по существу являлся бы отказом в праве на судебную защиту.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«Эконадзор»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