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16.12.2022, оставленным без изменения постановлением Десятого арбитражного апелляционного суда от 01.02.2023 и постановление Арбитражного суда Московского округа от 21.04.2023, в удовлетворении заявления отказано. В кассационной жалобе АО «Юридическое Бюро ФАКТОРИУС» просит об отмене судебных актов, ссылаясь на неправильные выводы в отношении оснований заявленного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недоказанность возникновения залога в силу закона и наличие в силу статьи 446 Гражданского процессуального кодекса Российской Федерации и пункта 3 статьи 213.25 Федерального закона от 26.10.2002 № 127-ФЗ «О несостоятельности (банкротстве)» у имущества исполнительского иммунитета. Требуемая переоценка установленных обстоятельств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АО «Юридическое Бюро ФАКТОРИУС»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"Альфа Банк" (подробнее) АО "Юридическое Бюро ФАКТОРИУС" (подробнее) ИНСПЕКЦИЯ ФЕДЕРАЛЬНОЙ НАЛОГОВОЙ СЛУЖБЫ ПО Г. НАРОФОМИНСКУ МОСКОВСКОЙ ОБЛАСТИ (подробнее) НП СОАУ Северная столица (подробнее) ООО МИКРОФИНАНСОВАЯ КОМПАНИЯ "КАРМАНИ" (подробнее) ООО ЭС-БИ-АЙ БАНК (подробнее) ПАО Банк ВТБ (подробнее) ПАО "Сбербанк России" (подробнее) ПАО "Совкомбанк"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