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18.01.2023, оставленным без изменения постановлением Девятого арбитражного апелляционного суда от 10.04.2023 и постановлением Арбитражного суда Московского округа от 28.06.2023, заявление удовлетворено. В кассационной жалобе акционерное общество «Сибирская Угольная Энергетическая Компания» просит об отмене судебных актов, ссылаясь на неправильное определение периода индексации.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Суды, руководствуясь пунктом 1 статьи 183 Арбитражного процессуального кодекса Российской Федерации и постановлением Конституционного Суда Российской Федерации от 22.07.2021 № 40-П, признали право истца на возмещение финансовых потерь посредством индексации присужденной суммы со дня вынесения решения суда, определив ее размер в соответствии с индексом потребительских цен на территории Российской Федерации за период неисполнения. Иное толкование заявителем правовых норм не создает оснований для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«Сибирская Угольная Энергетическая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