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в кассационном порядке указанные судебные акты в части взыскания неустойки, начисленной за период с 02.10.2022 по дату фактической оплаты задолженности.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Принимая судебные акты в обжалуемой части, суды, исследовав и оценив представленные в материалы дела доказательства, руководствуясь 2 положениями законодательства, регулирующего спорные правоотношения, не установили оснований для применения положений статьи 333 Гражданского кодекса Российской Федерации.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«Юниматик»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