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с учетом заключения судебной экспертизы, признанного достоверным доказательством, руководствуясь положениями законодательства, 2 регулирующего спорные правоотношения, суды пришли к выводу о наличии оснований для частичного удовлетворения первоначального иска и отказа в удовлетворении встречных требований, исходя из установленных обстоятельств перечисления истцом (заказчик) аванса ответчику (подрядчик), расторжения договора ввиду отказа истца от его исполнения, ненадлежащего выполнения ответчиком работ и несогласования сторонами выполнения дополнительных работ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«Агропромышленная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