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ФИО4 (далее – финансовый управляющий) обратилась в суд с заявлением о признании недействительными сделками перечисления денежных средств в пользу ФИО2 в размере 436 527 рублей 25 копеек и в пользу Управления Федеральной службы судебных приставов по Пермскому краю (далее – служба судебных приставов) в размере 30 556 рублей 91 копейки; применении последствий их недействительности. Определением Арбитражного суда Пермского края от 05.12.2018 заявление удовлетворено. Постановлением Семнадцатого арбитражного апелляционного суда от 21.03.2019, оставленным без изменения постановлением Арбитражного суда Уральского округа от 06.06.2019, вышеуказанное определение изменено в части применения последствий недействительности сделки: с ФИО2, применены последствия в виде взыскания с неё в конкурсную массу должника денежных средств в размере 424 237 рублей 47 копеек. В остальной части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финансового управляющего,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статьей 167 Гражданского кодекса Российской Федерации, статьями 61.1, 61.3. 61.6 Федерального закона от 26.10.2002 № 127-ФЗ «О несостоятельности (банкротстве)», разъяснениями, приведенными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 из доказанности совокупности условий для признания оспариваемых перечислений, совершённых в период подозрительности, повлекших за собой оказание заявителю предпочтения в условиях неплатёжеспособности должника и просроченной задолженности перед иными кредиторами, а также необоснованное погашение требования службы судебных приставов за счёт конкурсной массы вне процедуры банкротства. Изменяя принятое по спору определения в части применения последствий недействительности сделки с участием заявителя, апелляционный суд исходил из недоказанности получения заявителем предпочтения на сумму 12 289 рублей 78 копеек, на которую она была праве претендовать при пропорциональном распределении денежных средств, поступивших от реализации имущества должника, в связи с чем, признал их не подлежащими возврату в конкурсную массу. Суд округа согласился с выводами апелляционного суда. Указанные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