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24.03.2023 восстановлен срок на подачу заявления о включении требования в реестр и срок исковой давности, требование в размере 1 178 742 рублей 95 копеек включено в третью очередь реестра с учетом положений пункта 3 статьи 137 Федерального закона от 26.10.2002 № 127-ФЗ «О несостоятельности (банкротстве)». Девятый арбитражный апелляционный суд постановлением от 02.06.2023 изменил определение от 24.03.2023 и признал требование в размере 155 133 рублей 79 копеек подлежащим удовлетворению за счет имущества должника, оставшегося после удовлетворения требований кредиторов, включенных в реестр, в удовлетворении заявления в остальной части отказал. Арбитражный суд Московского округа постановлением от 22.08.2023 отменил определение от 24.03.2023 и постановление апелляционного суда от 02.06.2023 и направил спор на новое рассмотрение в суд первой инстанции. В кассационной жалобе Швецов И.Ф. просит отменить постановление окружного суда, ссылаясь на несоответствие выводов обстоятельствам дела и нарушение в применении исковой давности. Согласно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судами норм права и неустановление значимых для разрешения спора обстоятельств в качестве оснований для нового рассмотрения спора и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Швецову Илье Федоровичу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