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25.10.2022, оставленным без изменения постановлением Семнадцатого арбитражного апелляционного суда от 02.02.2023 и постановлением Арбитражного суда Уральского округа от 21.06.2023, иск удовлетворен. В кассационной жалобе предприниматель просит отменить судебные акты,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неподтвержденность надлежащими доказательствами исполнения предпринимателем обязательств по договору при наличии полученной от общества предварительной оплаты, поэтому удовлетворили иск в соответствии со статьями 451, 452, 453, 506, 509, 510 Гражданского кодекса Российской Федерации.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Зикратой Оксане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