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Новосибирской области обратился финансовый управляющий имуществом должника ФИО2 с ходатайством об истребовании у должника трех транспортных средств и документации к ним. Определением Арбитражного суда Новосибирской области от 26.09.2022, оставленным без изменения постановлением Седьмого арбитражного апелляционного суда от 24.11.2022 и постановлением Арбитражного суда Западно-Сибирского округа от 28.02.2023, заявление финансового управляющего удовлетворено. Должник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заявленное ходатайство, суды исходили из того, что необходимость истребования транспортных средств обусловлена исполнением финансовым управляющим возложенных на него статьями 20.3 , 213.9 Федерального закона от 26.10.2002 № 127-ФЗ «О несостоятельности (банкротстве)» обязанностей, поскольку спорное имущество до настоящего времени не передано должником финансовому управляющему, не представлены доказательства, подтверждающие принятие разумных мер по добровольному исполнению обязанности по передаче транспортных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Ёлгин Александр Владимирович (подробнее) МИФНС №21 по Новосибирской области (подробнее) ООО "Строй-Арт" (подробнее) Отдел по вопросам миграции УМВД России по г. Тольятти (подробнее) Седьмой арбитражный апелляционный суд (подробнее) Союз "Саморегулируемая организация арбитражных управляющих"Альянс"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