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09.09.2022, оставленным без изменения постановлением Четвертого арбитражного апелляционного суда от 16.03.2023 и постановлением Арбитражного суда Восточно-Сибирского округа от 29.06.2023, заявление удовлетворено. В кассационной жалобе Андреева Н.В. просит об отмене судебных актов, ссылаясь на заключение брачного договора до возникновения обязательств должника и за пределами периода подозрительности, отсутствие нарушения прав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супругами статуса спорного имущества в период неплатежеспособности должника в нарушение имущественных прав кредиторов, в связи с чем удовлетворили заявление в соответствии с пунктом 7 статьи 213.26 Федерального закона от 26.10.2002 №127-ФЗ «О несостоятельности (банкротстве)», статьей 308.3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