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21.03.2023 процедура реализации имущества должника завершена, Павлов Д.А. освобожден от дальнейшего исполнения требований кредиторов, за исключением обязательств перед Ведерниковым П.А. в неудовлетворенной части. Постановлением Семнадцатого арбитражного апелляционного суда от 22.05.2023, оставленным без изменения постановлением Арбитражного суда Уральского округа от 04.08.2023, определение от 21.03.2023 отменено в части: Павлов Д.А. освобожден от дальнейшего исполнения требований кредиторов. В кассационной жалобе Ведерников П.А. просит об отмене судебных актов апелляционного и окружного судов,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Иная оценка кредитором обстоятельств возникновения перед ним задолженности и погашения ее должником противоречит установленным обстоятельствам и не создает названных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Ведерникову Павлу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