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18.01.2023, оставленным без изменения постановлением Пятнадцатого арбитражного апелляционного суда от 05.05.2023, процедура реализации имущества должника продлена на шесть месяцев. В кассационной жалобе заявители просят об отмене судебных актов, ссылаясь на отсутствие законного основания для продления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признали, что в силу пункта 2 статьи 213.24 Федерального закона от 26.10.2002 № 127-ФЗ «О несостоятельности (банкротстве)» продление срока реализации имущества должника обусловлено конкретными обстоятельствами дела о банкротстве. Ходатайства должника, не рассмотренные одновременно с заявлением управляющего, препятствием для удовлетворения его заявления не являются и не влекут пересмотра принятых по нему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Иваненко Виталию Анатольевичу и Гоголь Диане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