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Волгоградской области от 03.02.2023, оставленным без изменения постановлением Девятого арбитражного апелляционного суда от 29.08.2022 и постановлением Арбитражного суда Московского округа от 13.12.2022, в удовлетворении заявления отказано. В кассационных жалобах заявители просят об отмене судебных актов, ссылаясь на наличие законных оснований для признания сделки недействительной.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2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 не усматривается. Исследованные обстоятельства совершения отказа должником от наследования суды признали не создающими условия для применения статей 10, 168, 170 Гражданского кодекса Российской Федерации, статьи 61.2 Федерального закона от 26.10.2002 N 127-ФЗ «О несостоятельности (банкротстве)», статьи 69 Арбитражного процессуального кодекса Российской Федерации. Требуемая в жалобах переоценка установленных обстоятельств не попадает под основания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Левину Михаилу Геннадьевичу, Башковой Елене Юрьевне, Башковой Наталье Юрьевне и Кондель Анне Ивановне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