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31.01.2023, оставленным без изменения постановлением Девятого арбитражного апелляционного суда от 11.04.2023 и постановлением Арбитражного суда Московского округа от 04.07.2023, в удовлетворении заявления отказано. В кассационной жалобе ФИО1 просит об отмене судебных актов, ссылаясь на неисследование трудовых отношений как основания для перечисления денежных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надлежащее извещение заявителя о судебном заседании, в котором принят заявленный к пересмотру судебный акт, и отсутствие у обозначенных обстоятельств признаков, необходимых в силу статьи 311 Арбитражного процессуального кодекса Российской Федерации для его пересмотра.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ЗАО "ГК "ЭТМ" (подробнее) ЗАО "ЖИЛИЩНИК" (подробнее) ЗАО Экспериментальный завод объемных инженерных сооружений (подробнее) ООО "Дельта" (подробнее) ООО Навара (подробнее) ПАО Банк "Финансовая Корпорация Открытие" (подробнее) ф/у Берегеча Г.Ф. Агеев В.А. (подробнее) Иные лица: ГУ Центр лицензионно-разрешительной работы Росгвардии по г.Москве (подробнее) Демчучен Виктор (подробнее) Управление ЗАГС г. Москвы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