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Тюменской области от 20.12.2022, оставленным без изменения постановлением Восьмого арбитражного апелляционного суда от 30.03.2023 и постановлением Арбитражного суда Западно-Сибирского округа от 19.07.2023, в удовлетворении иска отказано. В кассационной жалобе общество «СибАвтоТранс» просит об отмене судебных актов, ссылаясь на неправильную оценку обстоятельств спора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у спорной суммы признаков неосновательного обогащения (статья 1102 Гражданского кодекса Российской Федерации) как перечисленной на основании выставленных счетов ответчиком за оказанные услуги (с указанием их количества и стоимости) в соответствии с условиями договора перевозки грузов автомобильным транспортом от 01.02.2021 № ю/02. Иная оценка обстоятельств исполнения обязательства, заложенная в доводах жалобы,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«СибАвтоТранс»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