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16.05.2022 в удовлетворении заявления отказано. Девятый арбитражный апелляционный суд постановлением от 24.03.3023 отменил определение от 16.05.2022, рассмотрел спор по правилам для суда первой инстанции и отказал в удовлетворении заявления. Арбитражный суд Московского округа постановлением от 30.06.2023 постановление апелляционного суда от 24.03.2023 оставил без изменения. В кассационной жалобе общество «Интертехпроект» просит об отмене судебных актов, ссылаясь на неустановление значимых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с учетом установленных в делах № А40-151476/2019, и № А40-153916/2019 обстоятельств признал оспариваемый договор не попадающим под действие статьи 61.2 Федерального закона от 26.10.2002 № 127-ФЗ «О несостоятельности (банкротстве)» и статей 10, 168 Гражданского кодекса Российской Федерации. Иная оценка обстоятельств совершения сделки, изложенная в доводах кассационной жалобы,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«Интертехпроект»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