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24.01.2023, оставленным без изменения постановлением Седьмого арбитражного апелляционного суда от 30.03.2023 и постановлением Арбитражного суда Западно-Сибирского округа от 23.06.2023, из конкурсной массы исключена квартира. В кассационной жалобе Селезнев А.И. просит об отмене судебных актов, ссылаясь на игнорирование судами уклонения финансового управляющего от решения вопроса о приобретении замещающего жилья, недобросовестности должника при распоряжении спорной квартирой.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отсутствие критериев, определенных в постановлении Конституционного Суда Российской Федерации от 26.04.2021 № 15-П, для снятия либо ограничения исполнительского иммунитета в отношении квартиры. Проявленная кредитором инициатива о предоставлении замещающего жилья признана не обеспечивающей условий для реализации.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Селезневу Андрею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