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28.12.2022, оставленным без изменения постановлением Десятого арбитражного апелляционного суда от 13.03.2023 и постановлением Арбитражного суда Московского округа от 30.06.2023, иск удовлетворен. В кассационной жалобе общество «АРМ» просит об отмене судебных актов, ссылаясь на неосновательное начисление неустойки за простой вагонов, возникший по вине истца, и наличие в его действиях недобросовестности.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условиям договора об оказании услуг, связанных с перевозками от 28.01.2021 № РЮ-6/5/2021/П и обстоятельствам его исполнения и приняты с оценкой доводов ответчика о возникновении простоя вследствие бездействия истца и наличии в его действия злоупотребления правом.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