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23.01.2023, оставленным без изменения постановлением Девятого арбитражного апелляционного суда от 06.04.2023 и постановлением Арбитражного суда Московского округа от 28.06.2023, заявление удовлетворено. В кассационной жалобе Бикин А.Е. просит об отмене судебных актов, ссылаясь на лишение возможности личного осуществления процессуальных прав и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Отказ в отложении судебного заседания не является процессуальным нарушением. Вопрос о сроке исковой давности в отношении сделки должника разрешен судами в соответствии с пунктом 1 статьи 61.9 Федерального закона от 26.10.2002 № 127-ФЗ «О несостоятельности (банкротстве)» и пунктом 1 статьи 181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Бикину Андрею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