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06.02.2023, оставленным без изменения постановлением Девятого арбитражного апелляционного суда от 17.04.2023 и постановлением Арбитражного суда Московского округа от 11.07.2023, заявление удовлетворено. В кассационной жалобе Геворгян В.Г. просит об отмене судебных актов, ссылаясь на неприменение срока исковой давности, ненадлежащую оценку обстоятельств заключения сделок и отсутствие условий для признания их мнимыми.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формальное оформление прав на спорную квартиру фактически аффилированного лица в целях сохранения ее за должником в условиях наличия у него долгов перед кредиторами в качестве условий для применения к таким сделкам статей 10, 168, 170 Гражданского кодекса Российской Федерации. Доводу о сроке исковой давности, учитывая подачу заявления не стороной сделок, дана правовая оценка судов.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Геворгяну Варшаму Геворковичу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