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28.11.2022, о оставленным без изменения постановлением Девятого арбитражного апелляционного суда от 28.02.2023, заявление удовлетворено. Арбитражный суд Московского округа постановлением от 11.07.2023 отменил определение от 28.11.2022 и постановление апелляционного суда от 28.02.2023 и направил обособленный спор на новое рассмотрение в суд первой инстанции. В кассационной жалобе Блохина И.В. просит отменить постановление окружного суда, ссылаясь на отсутствие оснований для отмены судебных актов нижестоящих инстанций.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признав необходимость нового рассмотрения спора для установления не исследованных судами нижестоящих инстанций значимых обстоятельств, действовал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Блохиной И.В.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