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13.12.2022, оставленным без изменения постановлением Пятнадцатого арбитражного апелляционного суда от 20.03.2023 и постановлением Арбитражного суда Северо-Кавказского округа от 27.06.2023, признан недействительным договор уступки права требования от 06.05.2022, заявление удовлетворено. В кассационной жалобе Рождественский В.А. просит об отмене судебных актов, ссылаясь на противоречие их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Довод должника о противоречии судебных актов судебной практике по делам об оплате оказанных должникам правовых услуг учтен судами с обоснованием неприменения ее к спорным обстоятельства. Должник в нарушение части 1 статьи 291.11 и пункта 5 части 1 статьи 291.3 Арбитражного процессуального кодекса Российской Федерации не обосновал нарушения своих прав.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Рождественскому Вадиму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