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октября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Пермского края от 09.02.2023, оставленным без изменения постановлением Семнадцатого арбитражного апелляционного суда от 04.04.2023 и постановлением Арбитражного суда Уральского округа от 29.06.2023, требование кредитора признано обоснованным и включено в третью очередь реестра. В кассационной жалобе Копосов Е.Л. просит об отмене судебных актов, ссылаясь на игнорирование решения суда общей юрисдикции, установившего факт передачи денежных средств кредитору в полном объеме, неустановление значимых для разрешения спора обстоятельств.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2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Неисполнение должником обязанности по возврату полученного от кредитора займа установлено в рассматриваемом споре с учетом обстоятельств, следующих из судебных актов арбитражного и общего судов, принятых по связанным с ним делам.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Самойлову Олегу Александровичу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