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«Вестек Фор Виндс Лимитед» обратилась в Арбитражный суд города Москвы с иском к товариществу собственников жилья «Фор Виндс» о признании недействительным пункта протокола об утверждении сметы; признании недействительной сметы в части установления дифференцированного тарифа; взыскании неосновательного обогащения. Определением Арбитражного суда города Москвы от 08.06.2023, оставленным без изменения постановлением Девятого арбитражного апелляционного суда от 26.06.2023, дело № А40-13225/2023 передано в Московский городской суд для направления по подсудности в суд общей юрисдикции к компетенции которого оно относится.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настоящий спор подлежит рассмотрению в арбитражном суде, так как является корпоративным. Суды неправильно применили пункта 1, 6 статьи 27, статьи 28 и 225.1 Арбитражного процессуального кодекса Российской Федерации (далее -АПК РФ), не приняли во внимание разъяснения, изложенные в пункте 3 постановления Пленума Верховного Суда Российской Федерации от 23.12.2021 №46 «О 2 применении Арбитражного процессуального кодекса Российской Федерации при рассмотрении споров в суде первой инстанции».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Передавая дело по подсудности на рассмотрение в соответствующий суд общей юрисдикции, арбитражный суд первой инстанции руководствовался статьей 135 Жилищного кодекса Российской Федерации, статьями 27, 28, 33, 39, 225.1 АПК РФ и исходил из того, что Товарищество является некоммерческой организацией, то есть юридическим лицом, не имеющим извлечение прибыли в качестве основной цели своей деятельности, и не распределяющим полученный доход между участниками, а реализация лицами, создавшими соответствующее объединение, своих прав не связана с осуществлением предпринимательской или иной экономической деятельности. Спор по настоящему делу не подпадает под определение корпоративных споров, указанных в статье 225.1 АПК РФ, ни субъектному составу, ни по характеру спорных отношений. Доводы кассационной жалобы не свидетельствуют о допущенных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«Вестек Фор Виндс Лимитед»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